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CBBD" w14:textId="6AEE9F3E" w:rsidR="006706FE" w:rsidRDefault="006706FE" w:rsidP="006706FE"/>
    <w:p w14:paraId="7C317B3C" w14:textId="6A67C52B" w:rsidR="00897FB8" w:rsidRPr="00583D6B" w:rsidRDefault="00DD0BE7" w:rsidP="00583D6B">
      <w:pPr>
        <w:pStyle w:val="Title"/>
        <w:rPr>
          <w:rFonts w:cs="Arial"/>
          <w:color w:val="auto"/>
        </w:rPr>
      </w:pPr>
      <w:r w:rsidRPr="00583D6B">
        <w:rPr>
          <w:rFonts w:cs="Arial"/>
          <w:color w:val="auto"/>
        </w:rPr>
        <w:t>2023</w:t>
      </w:r>
      <w:r w:rsidR="006706FE" w:rsidRPr="00583D6B">
        <w:rPr>
          <w:rFonts w:cs="Arial"/>
          <w:color w:val="auto"/>
        </w:rPr>
        <w:t xml:space="preserve"> </w:t>
      </w:r>
      <w:r w:rsidR="0045492E" w:rsidRPr="00583D6B">
        <w:rPr>
          <w:rFonts w:cs="Arial"/>
          <w:color w:val="auto"/>
        </w:rPr>
        <w:t>Juneteenth</w:t>
      </w:r>
      <w:r w:rsidR="00583D6B">
        <w:rPr>
          <w:rFonts w:cs="Arial"/>
          <w:color w:val="auto"/>
        </w:rPr>
        <w:t xml:space="preserve">- </w:t>
      </w:r>
      <w:r w:rsidR="006706FE" w:rsidRPr="00583D6B">
        <w:rPr>
          <w:rFonts w:cs="Arial"/>
          <w:color w:val="auto"/>
        </w:rPr>
        <w:t xml:space="preserve">Personal Observance Day </w:t>
      </w:r>
    </w:p>
    <w:p w14:paraId="24505D30" w14:textId="15085855" w:rsidR="006706FE" w:rsidRPr="00583D6B" w:rsidRDefault="006706FE" w:rsidP="00583D6B">
      <w:pPr>
        <w:pStyle w:val="Title"/>
        <w:rPr>
          <w:rFonts w:cs="Arial"/>
          <w:color w:val="auto"/>
        </w:rPr>
      </w:pPr>
      <w:r w:rsidRPr="00583D6B">
        <w:rPr>
          <w:rFonts w:cs="Arial"/>
          <w:color w:val="auto"/>
        </w:rPr>
        <w:t xml:space="preserve">Guidance for </w:t>
      </w:r>
      <w:r w:rsidR="00856339" w:rsidRPr="00583D6B">
        <w:rPr>
          <w:rFonts w:cs="Arial"/>
          <w:color w:val="auto"/>
        </w:rPr>
        <w:t xml:space="preserve">Employees and </w:t>
      </w:r>
      <w:r w:rsidRPr="00583D6B">
        <w:rPr>
          <w:rFonts w:cs="Arial"/>
          <w:color w:val="auto"/>
        </w:rPr>
        <w:t xml:space="preserve">HR </w:t>
      </w:r>
      <w:r w:rsidR="00262346" w:rsidRPr="00583D6B">
        <w:rPr>
          <w:rFonts w:cs="Arial"/>
          <w:color w:val="auto"/>
        </w:rPr>
        <w:t>Liaisons</w:t>
      </w:r>
    </w:p>
    <w:p w14:paraId="25CB94E0" w14:textId="77777777" w:rsidR="00AE524B" w:rsidRPr="00DD0BE7" w:rsidRDefault="00AE524B" w:rsidP="00AE524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E56173" w14:textId="77777777" w:rsidR="006706FE" w:rsidRPr="00DD0BE7" w:rsidRDefault="006706FE" w:rsidP="00583D6B">
      <w:pPr>
        <w:pStyle w:val="Heading2"/>
        <w:rPr>
          <w:b w:val="0"/>
          <w:bCs w:val="0"/>
        </w:rPr>
      </w:pPr>
      <w:r w:rsidRPr="00DD0BE7">
        <w:t>Usage:</w:t>
      </w:r>
    </w:p>
    <w:p w14:paraId="176E8CA8" w14:textId="4E985535" w:rsidR="006706FE" w:rsidRPr="00DD0BE7" w:rsidRDefault="006706FE" w:rsidP="00DD0BE7">
      <w:pPr>
        <w:spacing w:after="0"/>
        <w:ind w:left="720"/>
      </w:pPr>
      <w:r w:rsidRPr="00DD0BE7">
        <w:t xml:space="preserve">Current: Personal Observance Day for </w:t>
      </w:r>
      <w:r w:rsidR="00DD0BE7" w:rsidRPr="00DD0BE7">
        <w:t xml:space="preserve">2023 must </w:t>
      </w:r>
      <w:r w:rsidRPr="00DD0BE7">
        <w:t>be</w:t>
      </w:r>
      <w:r w:rsidR="004515A2">
        <w:t xml:space="preserve"> used</w:t>
      </w:r>
      <w:r w:rsidRPr="00DD0BE7">
        <w:t xml:space="preserve"> </w:t>
      </w:r>
      <w:r w:rsidR="00B055F1">
        <w:t>by June 30, 2023</w:t>
      </w:r>
      <w:r w:rsidR="00DD0BE7" w:rsidRPr="00DD0BE7">
        <w:t>.</w:t>
      </w:r>
    </w:p>
    <w:p w14:paraId="6BDC5663" w14:textId="77777777" w:rsidR="00ED318E" w:rsidRPr="00DD0BE7" w:rsidRDefault="00ED318E" w:rsidP="00ED318E">
      <w:pPr>
        <w:spacing w:after="0"/>
        <w:ind w:left="720"/>
      </w:pPr>
    </w:p>
    <w:p w14:paraId="10F0FA61" w14:textId="0CF353CF" w:rsidR="006706FE" w:rsidRPr="00DD0BE7" w:rsidRDefault="006706FE" w:rsidP="00ED318E">
      <w:pPr>
        <w:spacing w:after="0"/>
        <w:ind w:left="720"/>
      </w:pPr>
      <w:r w:rsidRPr="00DD0BE7">
        <w:t xml:space="preserve">Future: A Personal Observance Day </w:t>
      </w:r>
      <w:r w:rsidR="004D24EB">
        <w:t>f</w:t>
      </w:r>
      <w:r w:rsidRPr="00DD0BE7">
        <w:t>or Juneteenth is under discussion for 202</w:t>
      </w:r>
      <w:r w:rsidR="00DD0BE7" w:rsidRPr="00DD0BE7">
        <w:t>4</w:t>
      </w:r>
      <w:r w:rsidRPr="00DD0BE7">
        <w:t xml:space="preserve"> and future years; further information will be communicated </w:t>
      </w:r>
      <w:proofErr w:type="gramStart"/>
      <w:r w:rsidRPr="00DD0BE7">
        <w:t>at a later date</w:t>
      </w:r>
      <w:proofErr w:type="gramEnd"/>
      <w:r w:rsidRPr="00DD0BE7">
        <w:t>.</w:t>
      </w:r>
    </w:p>
    <w:p w14:paraId="661578B4" w14:textId="77777777" w:rsidR="00ED318E" w:rsidRPr="00DD0BE7" w:rsidRDefault="00ED318E" w:rsidP="006706FE">
      <w:pPr>
        <w:rPr>
          <w:b/>
          <w:bCs/>
        </w:rPr>
      </w:pPr>
    </w:p>
    <w:p w14:paraId="07C22725" w14:textId="51EF5826" w:rsidR="006706FE" w:rsidRPr="00DD0BE7" w:rsidRDefault="006706FE" w:rsidP="00583D6B">
      <w:pPr>
        <w:pStyle w:val="Heading2"/>
        <w:rPr>
          <w:b w:val="0"/>
          <w:bCs w:val="0"/>
        </w:rPr>
      </w:pPr>
      <w:r w:rsidRPr="00DD0BE7">
        <w:t>Eligibility:</w:t>
      </w:r>
    </w:p>
    <w:p w14:paraId="32CB7BE2" w14:textId="77777777" w:rsidR="00583D6B" w:rsidRDefault="00583D6B" w:rsidP="00041087">
      <w:pPr>
        <w:ind w:left="720"/>
      </w:pPr>
    </w:p>
    <w:p w14:paraId="192C4211" w14:textId="3ED8EF93" w:rsidR="00ED318E" w:rsidRPr="00DD0BE7" w:rsidRDefault="006706FE" w:rsidP="008408A4">
      <w:pPr>
        <w:ind w:left="720"/>
      </w:pPr>
      <w:r w:rsidRPr="00DD0BE7">
        <w:t>Employees who are eligible for paid holidays are eligible for the Personal Observance Day</w:t>
      </w:r>
      <w:r w:rsidR="00041087" w:rsidRPr="00DD0BE7">
        <w:t xml:space="preserve"> (prorated per percentage of appointment)</w:t>
      </w:r>
      <w:r w:rsidRPr="00DD0BE7">
        <w:t xml:space="preserve">. </w:t>
      </w:r>
    </w:p>
    <w:p w14:paraId="386D2BED" w14:textId="64B4C696" w:rsidR="006706FE" w:rsidRPr="00DD0BE7" w:rsidRDefault="006706FE" w:rsidP="00ED318E">
      <w:pPr>
        <w:spacing w:after="0"/>
        <w:ind w:firstLine="720"/>
      </w:pPr>
      <w:r w:rsidRPr="00DD0BE7">
        <w:t xml:space="preserve">Employees leaving the university before </w:t>
      </w:r>
      <w:r w:rsidR="00B055F1">
        <w:t>June 30, 2023</w:t>
      </w:r>
      <w:r w:rsidRPr="00DD0BE7">
        <w:t xml:space="preserve">, may use the Personal Observance </w:t>
      </w:r>
    </w:p>
    <w:p w14:paraId="2193DC91" w14:textId="25E4A964" w:rsidR="006706FE" w:rsidRPr="00DD0BE7" w:rsidRDefault="006706FE" w:rsidP="00143864">
      <w:pPr>
        <w:spacing w:after="0"/>
        <w:ind w:firstLine="720"/>
      </w:pPr>
      <w:r w:rsidRPr="00DD0BE7">
        <w:t xml:space="preserve">Day before they depart. The </w:t>
      </w:r>
      <w:r w:rsidR="00143864">
        <w:t xml:space="preserve">Personal Observance Day is not eligible to be </w:t>
      </w:r>
      <w:r w:rsidRPr="00DD0BE7">
        <w:t xml:space="preserve">paid out </w:t>
      </w:r>
      <w:r w:rsidR="00143864">
        <w:t>upon separation.</w:t>
      </w:r>
    </w:p>
    <w:p w14:paraId="1D7FB160" w14:textId="77777777" w:rsidR="00637C86" w:rsidRPr="00DD0BE7" w:rsidRDefault="00637C86" w:rsidP="006706FE">
      <w:pPr>
        <w:rPr>
          <w:b/>
          <w:bCs/>
        </w:rPr>
      </w:pPr>
    </w:p>
    <w:p w14:paraId="408158E1" w14:textId="5564F7B5" w:rsidR="006706FE" w:rsidRPr="00DD0BE7" w:rsidRDefault="006706FE" w:rsidP="00583D6B">
      <w:pPr>
        <w:pStyle w:val="Heading2"/>
        <w:rPr>
          <w:b w:val="0"/>
          <w:bCs w:val="0"/>
        </w:rPr>
      </w:pPr>
      <w:r w:rsidRPr="00DD0BE7">
        <w:t>Timekeeping:</w:t>
      </w:r>
    </w:p>
    <w:p w14:paraId="4A7E81E1" w14:textId="77777777" w:rsidR="00583D6B" w:rsidRDefault="00583D6B" w:rsidP="00067CE3">
      <w:pPr>
        <w:spacing w:after="0"/>
        <w:ind w:left="720"/>
      </w:pPr>
    </w:p>
    <w:p w14:paraId="5FE36A01" w14:textId="435C643E" w:rsidR="00C26199" w:rsidRPr="00DD0BE7" w:rsidRDefault="006706FE" w:rsidP="00067CE3">
      <w:pPr>
        <w:spacing w:after="0"/>
        <w:ind w:left="720"/>
      </w:pPr>
      <w:r w:rsidRPr="00DD0BE7">
        <w:t xml:space="preserve">Employees will </w:t>
      </w:r>
      <w:r w:rsidRPr="00DD0BE7">
        <w:rPr>
          <w:b/>
          <w:bCs/>
          <w:u w:val="single"/>
        </w:rPr>
        <w:t>request</w:t>
      </w:r>
      <w:r w:rsidRPr="00DD0BE7">
        <w:t xml:space="preserve"> the Personal Observance Day in advance in </w:t>
      </w:r>
      <w:proofErr w:type="spellStart"/>
      <w:r w:rsidRPr="00DD0BE7">
        <w:t>MyLeave</w:t>
      </w:r>
      <w:proofErr w:type="spellEnd"/>
      <w:r w:rsidR="00067CE3">
        <w:t xml:space="preserve"> using the code </w:t>
      </w:r>
      <w:r w:rsidRPr="00DD0BE7">
        <w:t>“Personal Observance Day”</w:t>
      </w:r>
      <w:r w:rsidR="00067CE3">
        <w:t xml:space="preserve">. </w:t>
      </w:r>
      <w:r w:rsidR="00556E8E">
        <w:t>Enter</w:t>
      </w:r>
      <w:r w:rsidR="00C26199" w:rsidRPr="00DD0BE7">
        <w:t xml:space="preserve"> “</w:t>
      </w:r>
      <w:r w:rsidR="00B055F1">
        <w:t xml:space="preserve">2023 </w:t>
      </w:r>
      <w:r w:rsidR="00C26199" w:rsidRPr="00DD0BE7">
        <w:t xml:space="preserve">Juneteenth Holiday” in </w:t>
      </w:r>
      <w:r w:rsidR="00556E8E">
        <w:t>the d</w:t>
      </w:r>
      <w:r w:rsidR="00C26199" w:rsidRPr="00DD0BE7">
        <w:t>escription</w:t>
      </w:r>
      <w:r w:rsidR="00322277" w:rsidRPr="00DD0BE7">
        <w:t xml:space="preserve"> when requesting time off</w:t>
      </w:r>
      <w:r w:rsidR="00C26199" w:rsidRPr="00DD0BE7">
        <w:t>.</w:t>
      </w:r>
    </w:p>
    <w:p w14:paraId="4189F6C9" w14:textId="77777777" w:rsidR="00ED318E" w:rsidRPr="00DD0BE7" w:rsidRDefault="00ED318E" w:rsidP="00ED318E">
      <w:pPr>
        <w:spacing w:after="0"/>
        <w:ind w:left="720"/>
      </w:pPr>
    </w:p>
    <w:p w14:paraId="6D403B62" w14:textId="48B6341D" w:rsidR="00957BCA" w:rsidRPr="00DD0BE7" w:rsidRDefault="00957BCA" w:rsidP="004013A4">
      <w:pPr>
        <w:ind w:left="-288"/>
        <w:jc w:val="center"/>
      </w:pPr>
      <w:r w:rsidRPr="00DD0BE7">
        <w:rPr>
          <w:noProof/>
        </w:rPr>
        <w:drawing>
          <wp:inline distT="0" distB="0" distL="0" distR="0" wp14:anchorId="488651C0" wp14:editId="779A52E3">
            <wp:extent cx="4454957" cy="2137046"/>
            <wp:effectExtent l="0" t="0" r="317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9194" cy="21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3A4" w:rsidRPr="00DD0BE7">
        <w:t xml:space="preserve">             </w:t>
      </w:r>
      <w:r w:rsidR="004013A4" w:rsidRPr="00DD0BE7">
        <w:rPr>
          <w:noProof/>
        </w:rPr>
        <w:drawing>
          <wp:inline distT="0" distB="0" distL="0" distR="0" wp14:anchorId="6BA1BCB6" wp14:editId="6A00C30B">
            <wp:extent cx="2011680" cy="2099249"/>
            <wp:effectExtent l="0" t="0" r="762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9024" cy="215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1E30" w14:textId="2EB83F99" w:rsidR="00DD0BE7" w:rsidRDefault="00DD0BE7" w:rsidP="00A53063">
      <w:pPr>
        <w:ind w:left="720"/>
      </w:pPr>
    </w:p>
    <w:p w14:paraId="6611477A" w14:textId="77777777" w:rsidR="00856339" w:rsidRPr="00DD0BE7" w:rsidRDefault="00856339" w:rsidP="00A53063">
      <w:pPr>
        <w:ind w:left="720"/>
        <w:rPr>
          <w:b/>
          <w:bCs/>
          <w:u w:val="single"/>
        </w:rPr>
      </w:pPr>
    </w:p>
    <w:p w14:paraId="297CDF2D" w14:textId="4EC6B7AC" w:rsidR="00DD0BE7" w:rsidRPr="00D865D7" w:rsidRDefault="00DD0BE7" w:rsidP="00583D6B">
      <w:pPr>
        <w:pStyle w:val="Heading2"/>
        <w:rPr>
          <w:b w:val="0"/>
          <w:bCs w:val="0"/>
        </w:rPr>
      </w:pPr>
      <w:r w:rsidRPr="00D865D7">
        <w:t>Tracking:</w:t>
      </w:r>
    </w:p>
    <w:p w14:paraId="3FD03583" w14:textId="72B012D6" w:rsidR="00DD0BE7" w:rsidRPr="00DD0BE7" w:rsidRDefault="00DD0BE7" w:rsidP="00D865D7">
      <w:pPr>
        <w:ind w:left="1260" w:hanging="540"/>
      </w:pPr>
      <w:r w:rsidRPr="00DD0BE7">
        <w:t xml:space="preserve">A query report has been developed to help monitor the usage of this leave category. </w:t>
      </w:r>
    </w:p>
    <w:p w14:paraId="31A1C725" w14:textId="77777777" w:rsidR="00DD0BE7" w:rsidRPr="00DD0BE7" w:rsidRDefault="00DD0BE7" w:rsidP="00D865D7">
      <w:pPr>
        <w:pStyle w:val="ListParagraph"/>
        <w:numPr>
          <w:ilvl w:val="0"/>
          <w:numId w:val="1"/>
        </w:numPr>
        <w:ind w:left="1260" w:hanging="540"/>
      </w:pPr>
      <w:r w:rsidRPr="00DD0BE7">
        <w:lastRenderedPageBreak/>
        <w:t>Log into the employee portal.</w:t>
      </w:r>
    </w:p>
    <w:p w14:paraId="2661A724" w14:textId="77777777" w:rsidR="00DD0BE7" w:rsidRPr="00DD0BE7" w:rsidRDefault="00DD0BE7" w:rsidP="00D865D7">
      <w:pPr>
        <w:pStyle w:val="ListParagraph"/>
        <w:numPr>
          <w:ilvl w:val="0"/>
          <w:numId w:val="1"/>
        </w:numPr>
        <w:ind w:left="1260" w:hanging="540"/>
      </w:pPr>
      <w:r w:rsidRPr="00DD0BE7">
        <w:t>Open the CU Resources dropdown menu and click Business Tools.</w:t>
      </w:r>
    </w:p>
    <w:p w14:paraId="0B55DB9C" w14:textId="77777777" w:rsidR="00DD0BE7" w:rsidRPr="00DD0BE7" w:rsidRDefault="00DD0BE7" w:rsidP="00D865D7">
      <w:pPr>
        <w:pStyle w:val="ListParagraph"/>
        <w:numPr>
          <w:ilvl w:val="0"/>
          <w:numId w:val="1"/>
        </w:numPr>
        <w:ind w:left="1260" w:hanging="540"/>
      </w:pPr>
      <w:r w:rsidRPr="00DD0BE7">
        <w:t>Select the HCM tile and choose HCM Community Users from the drop-down menu.</w:t>
      </w:r>
    </w:p>
    <w:p w14:paraId="77D6A6BE" w14:textId="77777777" w:rsidR="00DD0BE7" w:rsidRPr="00DD0BE7" w:rsidRDefault="00DD0BE7" w:rsidP="00D865D7">
      <w:pPr>
        <w:pStyle w:val="ListParagraph"/>
        <w:numPr>
          <w:ilvl w:val="0"/>
          <w:numId w:val="1"/>
        </w:numPr>
        <w:ind w:left="1260" w:hanging="540"/>
      </w:pPr>
      <w:r w:rsidRPr="00DD0BE7">
        <w:t xml:space="preserve">Click the HCM </w:t>
      </w:r>
      <w:proofErr w:type="spellStart"/>
      <w:r w:rsidRPr="00DD0BE7">
        <w:t>WorkCenter</w:t>
      </w:r>
      <w:proofErr w:type="spellEnd"/>
      <w:r w:rsidRPr="00DD0BE7">
        <w:t xml:space="preserve"> tile.</w:t>
      </w:r>
    </w:p>
    <w:p w14:paraId="3881188D" w14:textId="4B9C2015" w:rsidR="00DD0BE7" w:rsidRDefault="00DD0BE7" w:rsidP="00D865D7">
      <w:pPr>
        <w:pStyle w:val="ListParagraph"/>
        <w:numPr>
          <w:ilvl w:val="0"/>
          <w:numId w:val="1"/>
        </w:numPr>
        <w:ind w:left="1260" w:hanging="540"/>
      </w:pPr>
      <w:r w:rsidRPr="00DD0BE7">
        <w:t>Select the Resources tab, select Query Manager and search for CUES_HCM_POD_LEAVE.</w:t>
      </w:r>
    </w:p>
    <w:p w14:paraId="3F8791E8" w14:textId="77777777" w:rsidR="00583D6B" w:rsidRPr="00DD0BE7" w:rsidRDefault="00583D6B" w:rsidP="00583D6B">
      <w:pPr>
        <w:pStyle w:val="ListParagraph"/>
        <w:ind w:left="1260"/>
      </w:pPr>
    </w:p>
    <w:p w14:paraId="13945E50" w14:textId="77777777" w:rsidR="00DD0BE7" w:rsidRPr="00D865D7" w:rsidRDefault="00DD0BE7" w:rsidP="00583D6B">
      <w:pPr>
        <w:pStyle w:val="Heading2"/>
        <w:rPr>
          <w:b w:val="0"/>
          <w:bCs w:val="0"/>
        </w:rPr>
      </w:pPr>
      <w:r w:rsidRPr="00D865D7">
        <w:t xml:space="preserve">Additional Information: </w:t>
      </w:r>
    </w:p>
    <w:p w14:paraId="138277E9" w14:textId="534F120A" w:rsidR="00DD0BE7" w:rsidRDefault="008408A4" w:rsidP="009F4309">
      <w:pPr>
        <w:ind w:left="720"/>
        <w:rPr>
          <w:rStyle w:val="Hyperlink"/>
          <w:u w:val="none"/>
        </w:rPr>
      </w:pPr>
      <w:hyperlink r:id="rId10" w:history="1">
        <w:r w:rsidR="00DD0BE7" w:rsidRPr="00DD0BE7">
          <w:rPr>
            <w:rStyle w:val="Hyperlink"/>
            <w:u w:val="none"/>
          </w:rPr>
          <w:t>https://www.cu.edu/blog/hcm-community/processing-new-personal-observance-day-leave-category</w:t>
        </w:r>
      </w:hyperlink>
    </w:p>
    <w:p w14:paraId="1B73FC20" w14:textId="77777777" w:rsidR="00583D6B" w:rsidRPr="009F4309" w:rsidRDefault="00583D6B" w:rsidP="009F4309">
      <w:pPr>
        <w:ind w:left="720"/>
      </w:pPr>
    </w:p>
    <w:p w14:paraId="61513627" w14:textId="77777777" w:rsidR="00D865D7" w:rsidRPr="00D865D7" w:rsidRDefault="00041087" w:rsidP="00583D6B">
      <w:pPr>
        <w:pStyle w:val="Heading2"/>
      </w:pPr>
      <w:r w:rsidRPr="00D865D7">
        <w:t>For Monthly/Hourly employees</w:t>
      </w:r>
      <w:r w:rsidR="00D865D7" w:rsidRPr="00D865D7">
        <w:t>:</w:t>
      </w:r>
      <w:r w:rsidRPr="00D865D7">
        <w:t xml:space="preserve"> </w:t>
      </w:r>
    </w:p>
    <w:p w14:paraId="64A2A998" w14:textId="5EEAEE23" w:rsidR="006706FE" w:rsidRDefault="00D865D7" w:rsidP="00A53063">
      <w:pPr>
        <w:ind w:left="720"/>
      </w:pPr>
      <w:r>
        <w:t>T</w:t>
      </w:r>
      <w:r w:rsidR="00041087" w:rsidRPr="00DD0BE7">
        <w:t>he department HRL wil</w:t>
      </w:r>
      <w:r w:rsidR="00E753BD" w:rsidRPr="00DD0BE7">
        <w:t>l</w:t>
      </w:r>
      <w:r w:rsidR="00041087" w:rsidRPr="00DD0BE7">
        <w:t xml:space="preserve"> enter matching hours for the Person Observance Day as REG (required) in CU Time.</w:t>
      </w:r>
      <w:r w:rsidR="00A53063" w:rsidRPr="00DD0BE7">
        <w:t xml:space="preserve"> </w:t>
      </w:r>
      <w:r w:rsidR="006706FE" w:rsidRPr="00DD0BE7">
        <w:t>This is the same process followed with any exception code (such as sick or vacation), with the only difference being that while most earnings code</w:t>
      </w:r>
      <w:r w:rsidR="00D85D16" w:rsidRPr="00DD0BE7">
        <w:t>s</w:t>
      </w:r>
      <w:r w:rsidR="006706FE" w:rsidRPr="00DD0BE7">
        <w:t xml:space="preserve"> do move from My Leave to CU Time,</w:t>
      </w:r>
      <w:r w:rsidR="00262346" w:rsidRPr="00DD0BE7">
        <w:t xml:space="preserve"> </w:t>
      </w:r>
      <w:r w:rsidR="006706FE" w:rsidRPr="00DD0BE7">
        <w:t>Personal Observance Day</w:t>
      </w:r>
      <w:r w:rsidR="00A53063" w:rsidRPr="00DD0BE7">
        <w:t xml:space="preserve"> and regular holidays</w:t>
      </w:r>
      <w:r w:rsidR="006706FE" w:rsidRPr="00DD0BE7">
        <w:t xml:space="preserve"> will not</w:t>
      </w:r>
      <w:r w:rsidR="006706FE" w:rsidRPr="00A53063">
        <w:t>.</w:t>
      </w:r>
    </w:p>
    <w:sectPr w:rsidR="006706FE" w:rsidSect="004013A4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A305" w14:textId="77777777" w:rsidR="003951A1" w:rsidRDefault="003951A1" w:rsidP="006706FE">
      <w:pPr>
        <w:spacing w:after="0" w:line="240" w:lineRule="auto"/>
      </w:pPr>
      <w:r>
        <w:separator/>
      </w:r>
    </w:p>
  </w:endnote>
  <w:endnote w:type="continuationSeparator" w:id="0">
    <w:p w14:paraId="04827F43" w14:textId="77777777" w:rsidR="003951A1" w:rsidRDefault="003951A1" w:rsidP="006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6677" w14:textId="77777777" w:rsidR="003951A1" w:rsidRDefault="003951A1" w:rsidP="006706FE">
      <w:pPr>
        <w:spacing w:after="0" w:line="240" w:lineRule="auto"/>
      </w:pPr>
      <w:r>
        <w:separator/>
      </w:r>
    </w:p>
  </w:footnote>
  <w:footnote w:type="continuationSeparator" w:id="0">
    <w:p w14:paraId="2CBA538D" w14:textId="77777777" w:rsidR="003951A1" w:rsidRDefault="003951A1" w:rsidP="0067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3D5C" w14:textId="2F5E58A1" w:rsidR="006706FE" w:rsidRDefault="006706FE">
    <w:pPr>
      <w:pStyle w:val="Header"/>
    </w:pPr>
  </w:p>
  <w:p w14:paraId="149CF312" w14:textId="77777777" w:rsidR="006706FE" w:rsidRDefault="00670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12E" w14:textId="790C060B" w:rsidR="006706FE" w:rsidRDefault="006706FE">
    <w:pPr>
      <w:pStyle w:val="Header"/>
    </w:pPr>
    <w:r>
      <w:rPr>
        <w:noProof/>
      </w:rPr>
      <w:drawing>
        <wp:inline distT="0" distB="0" distL="0" distR="0" wp14:anchorId="5D50DF96" wp14:editId="5090FDC1">
          <wp:extent cx="2857500" cy="533995"/>
          <wp:effectExtent l="0" t="0" r="0" b="0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6211" cy="54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A68"/>
    <w:multiLevelType w:val="hybridMultilevel"/>
    <w:tmpl w:val="187CC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960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FE"/>
    <w:rsid w:val="00041087"/>
    <w:rsid w:val="000420D2"/>
    <w:rsid w:val="00067CE3"/>
    <w:rsid w:val="00087AA1"/>
    <w:rsid w:val="001041C2"/>
    <w:rsid w:val="00143864"/>
    <w:rsid w:val="00262346"/>
    <w:rsid w:val="00322277"/>
    <w:rsid w:val="003416E6"/>
    <w:rsid w:val="003951A1"/>
    <w:rsid w:val="003D4FD7"/>
    <w:rsid w:val="004013A4"/>
    <w:rsid w:val="004515A2"/>
    <w:rsid w:val="0045492E"/>
    <w:rsid w:val="004D24EB"/>
    <w:rsid w:val="00556E8E"/>
    <w:rsid w:val="00583D6B"/>
    <w:rsid w:val="005D15D4"/>
    <w:rsid w:val="00637C86"/>
    <w:rsid w:val="006706FE"/>
    <w:rsid w:val="00774088"/>
    <w:rsid w:val="008408A4"/>
    <w:rsid w:val="00856339"/>
    <w:rsid w:val="00897FB8"/>
    <w:rsid w:val="009118D2"/>
    <w:rsid w:val="00957BCA"/>
    <w:rsid w:val="009A29DE"/>
    <w:rsid w:val="009F4309"/>
    <w:rsid w:val="00A53063"/>
    <w:rsid w:val="00AE524B"/>
    <w:rsid w:val="00B055F1"/>
    <w:rsid w:val="00C26199"/>
    <w:rsid w:val="00C87386"/>
    <w:rsid w:val="00D77140"/>
    <w:rsid w:val="00D85D16"/>
    <w:rsid w:val="00D865D7"/>
    <w:rsid w:val="00DD0BE7"/>
    <w:rsid w:val="00E753BD"/>
    <w:rsid w:val="00ED318E"/>
    <w:rsid w:val="00EE76DC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42F4E"/>
  <w15:chartTrackingRefBased/>
  <w15:docId w15:val="{E5E391DC-DEB4-4DA0-B9CF-1D86DB88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D6B"/>
    <w:pPr>
      <w:keepNext/>
      <w:keepLines/>
      <w:shd w:val="clear" w:color="auto" w:fill="D9D9D9" w:themeFill="background1" w:themeFillShade="D9"/>
      <w:spacing w:before="120" w:after="0" w:line="276" w:lineRule="auto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FE"/>
  </w:style>
  <w:style w:type="paragraph" w:styleId="Footer">
    <w:name w:val="footer"/>
    <w:basedOn w:val="Normal"/>
    <w:link w:val="FooterChar"/>
    <w:uiPriority w:val="99"/>
    <w:unhideWhenUsed/>
    <w:rsid w:val="0067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FE"/>
  </w:style>
  <w:style w:type="character" w:styleId="Hyperlink">
    <w:name w:val="Hyperlink"/>
    <w:basedOn w:val="DefaultParagraphFont"/>
    <w:uiPriority w:val="99"/>
    <w:unhideWhenUsed/>
    <w:rsid w:val="00DD0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B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3D6B"/>
    <w:pPr>
      <w:pBdr>
        <w:bottom w:val="thinThickSmallGap" w:sz="24" w:space="4" w:color="44546A" w:themeColor="text2"/>
      </w:pBdr>
      <w:spacing w:before="120" w:after="0" w:line="240" w:lineRule="auto"/>
      <w:contextualSpacing/>
    </w:pPr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D6B"/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3D6B"/>
    <w:rPr>
      <w:rFonts w:eastAsiaTheme="majorEastAsia" w:cstheme="majorBidi"/>
      <w:b/>
      <w:bCs/>
      <w:color w:val="000000" w:themeColor="text1"/>
      <w:sz w:val="32"/>
      <w:szCs w:val="26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.edu/blog/hcm-community/processing-new-personal-observance-day-leave-categ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5F5D-5A91-498E-AA25-73A250A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 Taylor</dc:creator>
  <cp:keywords/>
  <dc:description/>
  <cp:lastModifiedBy>Jerilyn Taylor</cp:lastModifiedBy>
  <cp:revision>15</cp:revision>
  <cp:lastPrinted>2022-05-05T18:28:00Z</cp:lastPrinted>
  <dcterms:created xsi:type="dcterms:W3CDTF">2022-12-01T19:58:00Z</dcterms:created>
  <dcterms:modified xsi:type="dcterms:W3CDTF">2023-02-14T20:02:00Z</dcterms:modified>
</cp:coreProperties>
</file>